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ROSAC0279ZPB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Borzont</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1619366470"/>
          <w:tag w:val="goog_rdk_0"/>
        </w:sdtPr>
        <w:sdtContent>
          <w:r>
            <w:rPr>
              <w:rFonts w:ascii="Arial Unicode MS" w:cs="Arial Unicode MS" w:eastAsia="Arial Unicode MS" w:hAnsi="Arial Unicode MS"/>
              <w:sz w:val="22"/>
              <w:szCs w:val="22"/>
              <w:rtl w:val="0"/>
            </w:rPr>
            <w:t xml:space="preserve">☑ </w:t>
          </w:r>
        </w:sdtContent>
      </w:sdt>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901352472"/>
          <w:tag w:val="goog_rdk_1"/>
        </w:sdtPr>
        <w:sdtContent>
          <w:r>
            <w:rPr>
              <w:rFonts w:ascii="Arial Unicode MS" w:cs="Arial Unicode MS" w:eastAsia="Arial Unicode MS" w:hAnsi="Arial Unicode MS"/>
              <w:sz w:val="22"/>
              <w:szCs w:val="22"/>
              <w:rtl w:val="0"/>
            </w:rPr>
            <w:t xml:space="preserve">☐ </w:t>
          </w:r>
        </w:sdtContent>
      </w:sdt>
      <w:r>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99443076"/>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t xml:space="preserve">16,11</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t xml:space="preserve">5,92%</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Harghita</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679324539"/>
                <w:tag w:val="goog_rdk_3"/>
              </w:sdtPr>
              <w:sdtContent>
                <w:r>
                  <w:rPr>
                    <w:rFonts w:ascii="Arial Unicode MS" w:cs="Arial Unicode MS" w:eastAsia="Arial Unicode MS" w:hAnsi="Arial Unicode MS"/>
                    <w:sz w:val="22"/>
                    <w:szCs w:val="22"/>
                    <w:rtl w:val="0"/>
                  </w:rPr>
                  <w:t xml:space="preserve">☑ </w:t>
                </w:r>
              </w:sdtContent>
            </w:sdt>
            <w:r>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sdt>
              <w:sdtPr>
                <w:id w:val="-446821420"/>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sdt>
              <w:sdtPr>
                <w:id w:val="-1246159360"/>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423421720"/>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sdt>
              <w:sdtPr>
                <w:id w:val="-333117430"/>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sdt>
              <w:sdtPr>
                <w:id w:val="-925684237"/>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t xml:space="preserve">16,11</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RONPA0486 Piemontul Nyires;</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155 6/2016 privind aprobarea Planului de management al Pa rcului Natural Defileul Mureșului Superior și al ariilor n aturale protejate conexe.</w:t>
      </w:r>
    </w:p>
    <w:p w:rsidR="00000000" w:rsidDel="00000000" w:rsidP="00000000" w:rsidRDefault="00000000" w:rsidRPr="00000000" w14:paraId="1066202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6">
      <w:pPr>
        <w:spacing w:after="0" w:before="160" w:line="300" w:lineRule="auto"/>
        <w:rPr>
          <w:sz w:val="22"/>
          <w:szCs w:val="22"/>
        </w:rPr>
      </w:pPr>
      <w:r>
        <w:rPr>
          <w:rtl w:val="0"/>
        </w:rPr>
      </w:r>
    </w:p>
    <w:p w:rsidR="00000000" w:rsidDel="00000000" w:rsidP="00000000" w:rsidRDefault="00000000" w:rsidRPr="00000000" w14:paraId="00000067">
      <w:pPr>
        <w:spacing w:after="0" w:before="160" w:line="300" w:lineRule="auto"/>
        <w:rPr>
          <w:sz w:val="22"/>
          <w:szCs w:val="22"/>
        </w:rPr>
      </w:pPr>
      <w:r>
        <w:rPr>
          <w:sz w:val="22"/>
          <w:szCs w:val="22"/>
          <w:rtl w:val="0"/>
        </w:rPr>
        <w:t xml:space="preserve">Informația ecologică</w:t>
      </w:r>
    </w:p>
    <w:tbl>
      <w:tblPr>
        <w:tblStyle w:val="Table8"/>
        <w:tblW w:w="8970.0" w:type="dxa"/>
        <w:jc w:val="left"/>
        <w:tblInd w:w="10.0" w:type="dxa"/>
        <w:tblLayout w:type="fixed"/>
        <w:tblLook w:val="0400"/>
      </w:tblPr>
      <w:tblGrid>
        <w:gridCol w:w="2760"/>
        <w:gridCol w:w="621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jc w:val="both"/>
              <w:rPr>
                <w:b w:val="1"/>
                <w:bCs w:val="1"/>
                <w:sz w:val="22"/>
                <w:szCs w:val="22"/>
              </w:rPr>
            </w:pPr>
            <w:r>
              <w:rPr>
                <w:b w:val="1"/>
                <w:bCs w:val="1"/>
                <w:sz w:val="22"/>
                <w:szCs w:val="22"/>
                <w:rtl w:val="0"/>
              </w:rPr>
              <w:t xml:space="preserve">Habitate de pajiști umede seminaturale:</w:t>
            </w:r>
          </w:p>
          <w:p w:rsidR="00000000" w:rsidDel="00000000" w:rsidP="00000000" w:rsidRDefault="00000000" w:rsidRPr="00000000" w14:paraId="0000006C">
            <w:pPr>
              <w:spacing w:after="0" w:line="300" w:lineRule="auto"/>
              <w:jc w:val="both"/>
              <w:rPr>
                <w:sz w:val="22"/>
                <w:szCs w:val="22"/>
              </w:rPr>
            </w:pPr>
            <w:r>
              <w:rPr>
                <w:sz w:val="22"/>
                <w:szCs w:val="22"/>
                <w:rtl w:val="0"/>
              </w:rPr>
              <w:t xml:space="preserve">6410 - Pajişti cu </w:t>
            </w:r>
            <w:r>
              <w:rPr>
                <w:i w:val="1"/>
                <w:iCs w:val="1"/>
                <w:sz w:val="22"/>
                <w:szCs w:val="22"/>
                <w:rtl w:val="0"/>
              </w:rPr>
              <w:t xml:space="preserve">Molinia</w:t>
            </w:r>
            <w:r>
              <w:rPr>
                <w:sz w:val="22"/>
                <w:szCs w:val="22"/>
                <w:rtl w:val="0"/>
              </w:rPr>
              <w:t xml:space="preserve"> pe soluri calcaroase, turboase sau argilo-lemnoase (</w:t>
            </w:r>
            <w:r>
              <w:rPr>
                <w:i w:val="1"/>
                <w:iCs w:val="1"/>
                <w:sz w:val="22"/>
                <w:szCs w:val="22"/>
                <w:rtl w:val="0"/>
              </w:rPr>
              <w:t xml:space="preserve">Molinion caeruleae)</w:t>
            </w:r>
            <w:r>
              <w:rPr>
                <w:rtl w:val="0"/>
              </w:rPr>
            </w:r>
          </w:p>
          <w:p w:rsidR="00000000" w:rsidDel="00000000" w:rsidP="00000000" w:rsidRDefault="00000000" w:rsidRPr="00000000" w14:paraId="0000006D">
            <w:pPr>
              <w:spacing w:after="0" w:line="300" w:lineRule="auto"/>
              <w:jc w:val="both"/>
              <w:rPr>
                <w:sz w:val="22"/>
                <w:szCs w:val="22"/>
              </w:rPr>
            </w:pPr>
            <w:r>
              <w:rPr>
                <w:sz w:val="22"/>
                <w:szCs w:val="22"/>
                <w:rtl w:val="0"/>
              </w:rPr>
              <w:t xml:space="preserve">6440 - Pajişti aluviale ale văilor de râuri cu </w:t>
            </w:r>
            <w:r>
              <w:rPr>
                <w:i w:val="1"/>
                <w:iCs w:val="1"/>
                <w:sz w:val="22"/>
                <w:szCs w:val="22"/>
                <w:rtl w:val="0"/>
              </w:rPr>
              <w:t xml:space="preserve">Cnidion dubii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1060 Lycaena dispar</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4068 Adenophora lilifolia</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1758 Ligularia sibirica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jc w:val="both"/>
              <w:rPr/>
            </w:pPr>
            <w:r>
              <w:rPr>
                <w:sz w:val="22"/>
                <w:szCs w:val="22"/>
                <w:rtl w:val="0"/>
              </w:rPr>
              <w:t xml:space="preserve">Zona include habitate umede cu valoare conservativă ridicată, caracterizate prin condiții hidrologice favorabile și prin rolul acestora în susținerea biodiversității asociate ecosistemelor de tranziție dintre mediul terestru și cel acvatic.</w:t>
            </w:r>
            <w:r>
              <w:rPr>
                <w:rtl w:val="0"/>
              </w:rPr>
            </w:r>
          </w:p>
          <w:p w:rsidR="00000000" w:rsidDel="00000000" w:rsidP="00000000" w:rsidRDefault="00000000" w:rsidRPr="00000000" w14:paraId="00000076">
            <w:pPr>
              <w:jc w:val="both"/>
              <w:rPr/>
            </w:pPr>
            <w:r>
              <w:rPr>
                <w:sz w:val="22"/>
                <w:szCs w:val="22"/>
                <w:rtl w:val="0"/>
              </w:rPr>
              <w:t xml:space="preserve">Zona include ecosisteme lotice și habitate ripariene care asigură conectivitatea ecologică la scară regională și susțin procese hidrologice naturale esențiale pentru funcționarea ecosistemelor de luncă și a zonelor umede asociate.</w:t>
            </w:r>
            <w:r>
              <w:rPr>
                <w:rtl w:val="0"/>
              </w:rPr>
            </w:r>
          </w:p>
          <w:p w:rsidR="00000000" w:rsidDel="00000000" w:rsidP="00000000" w:rsidRDefault="00000000" w:rsidRPr="00000000" w14:paraId="00000077">
            <w:pPr>
              <w:jc w:val="both"/>
              <w:rPr/>
            </w:pPr>
            <w:r>
              <w:rPr>
                <w:sz w:val="22"/>
                <w:szCs w:val="22"/>
                <w:rtl w:val="0"/>
              </w:rPr>
              <w:t xml:space="preserve">Desemnarea ca ZPB se fundamentează pe criteriul stabilit de metodologie pentru rezervații naturale.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300" w:lineRule="auto"/>
              <w:rPr>
                <w:sz w:val="22"/>
                <w:szCs w:val="22"/>
              </w:rPr>
            </w:pPr>
            <w:r>
              <w:rPr>
                <w:sz w:val="22"/>
                <w:szCs w:val="22"/>
                <w:rtl w:val="0"/>
              </w:rPr>
              <w:t xml:space="preserve">A03 Cosire/Taiere a pasunii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jc w:val="both"/>
              <w:rPr>
                <w:sz w:val="22"/>
                <w:szCs w:val="22"/>
              </w:rPr>
            </w:pPr>
            <w:r>
              <w:rPr>
                <w:b w:val="1"/>
                <w:bCs w:val="1"/>
                <w:sz w:val="22"/>
                <w:szCs w:val="22"/>
                <w:rtl w:val="0"/>
              </w:rPr>
              <w:t xml:space="preserve">Obiective și măsuri de management activ pentru ecosistemele de pajiști </w:t>
            </w:r>
            <w:r>
              <w:rPr>
                <w:rtl w:val="0"/>
              </w:rPr>
            </w:r>
          </w:p>
          <w:p w:rsidR="00000000" w:rsidDel="00000000" w:rsidP="00000000" w:rsidRDefault="00000000" w:rsidRPr="00000000" w14:paraId="0000007C">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7D">
            <w:pPr>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7E">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7F">
            <w:pPr>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80">
            <w:pPr>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081">
            <w:pPr>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082">
            <w:pPr>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083">
            <w:pPr>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084">
            <w:pPr>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085">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86">
            <w:pPr>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87">
            <w:pPr>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88">
            <w:pPr>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89">
            <w:pPr>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8A">
            <w:pPr>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8B">
            <w:pPr>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8C">
            <w:pPr>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8D">
            <w:pPr>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8E">
            <w:pPr>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8F">
            <w:pPr>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90">
            <w:pPr>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91">
            <w:pPr>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92">
            <w:pPr>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93">
            <w:pPr>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94">
            <w:pPr>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95">
            <w:pPr>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96">
            <w:pPr>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97">
            <w:pPr>
              <w:spacing w:after="0" w:line="240" w:lineRule="auto"/>
              <w:jc w:val="both"/>
              <w:rPr>
                <w:sz w:val="22"/>
                <w:szCs w:val="22"/>
              </w:rPr>
            </w:pPr>
            <w:r>
              <w:rPr>
                <w:rtl w:val="0"/>
              </w:rPr>
            </w:r>
          </w:p>
          <w:p w:rsidR="00000000" w:rsidDel="00000000" w:rsidP="00000000" w:rsidRDefault="00000000" w:rsidRPr="00000000" w14:paraId="00000096">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300" w:lineRule="auto"/>
              <w:rPr>
                <w:sz w:val="22"/>
                <w:szCs w:val="22"/>
              </w:rPr>
            </w:pPr>
            <w:r>
              <w:rPr>
                <w:sz w:val="22"/>
                <w:szCs w:val="22"/>
                <w:rtl w:val="0"/>
              </w:rPr>
              <w:t xml:space="preserve">necunoscută</w:t>
            </w:r>
          </w:p>
        </w:tc>
      </w:tr>
    </w:tbl>
    <w:p w:rsidR="00000000" w:rsidDel="00000000" w:rsidP="00000000" w:rsidRDefault="00000000" w:rsidRPr="00000000" w14:paraId="0000009A">
      <w:pPr>
        <w:spacing w:after="80" w:before="240" w:line="300" w:lineRule="auto"/>
        <w:jc w:val="center"/>
        <w:rPr>
          <w:b w:val="1"/>
          <w:bCs w:val="1"/>
          <w:sz w:val="22"/>
          <w:szCs w:val="22"/>
        </w:rPr>
      </w:pPr>
      <w:r>
        <w:rPr>
          <w:rtl w:val="0"/>
        </w:rPr>
      </w:r>
    </w:p>
    <w:p w:rsidR="00000000" w:rsidDel="00000000" w:rsidP="00000000" w:rsidRDefault="00000000" w:rsidRPr="00000000" w14:paraId="0000009B">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09C">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Raţiu Flavia, 1968, Vegetaţia lemnoasă din complexul mlăştinos eutrof Voşlobeni (Jud. Harghita), Contrib. Bot. Cluj: 327-335 + 2 tab.</w:t>
      </w:r>
    </w:p>
    <w:p w:rsidR="00000000" w:rsidDel="00000000" w:rsidP="00000000" w:rsidRDefault="00000000" w:rsidRPr="00000000" w14:paraId="0000009D">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9E">
      <w:pPr>
        <w:spacing w:after="0" w:line="300" w:lineRule="auto"/>
        <w:jc w:val="center"/>
        <w:rPr>
          <w:b w:val="1"/>
          <w:bCs w:val="1"/>
          <w:sz w:val="22"/>
          <w:szCs w:val="22"/>
        </w:rPr>
      </w:pPr>
      <w:r>
        <w:rPr>
          <w:rtl w:val="0"/>
        </w:rPr>
      </w:r>
    </w:p>
    <w:p w:rsidR="00000000" w:rsidDel="00000000" w:rsidP="00000000" w:rsidRDefault="00000000" w:rsidRPr="00000000" w14:paraId="0000009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bookmarkStart w:colFirst="0" w:colLast="0" w:name="_heading=h.8th80xnbz1ae" w:id="0"/>
      <w:bookmarkEnd w:id="0"/>
      <w:r>
        <w:rPr>
          <w:sz w:val="22"/>
          <w:szCs w:val="22"/>
          <w:rtl w:val="0"/>
        </w:rPr>
        <w:t xml:space="preserve">Consultări publice realizate: 18 iunie 2025 – Harghita. Ulterior, în cadrul procesului de consultare extins la nivel național, au avut loc consultări suplimentare online, în data de 19 ianuarie 2026 cu participarea factorilor interesați relevanți din județul Harghita și apoi în 26 -27 martie 2026  au avut loc consultări publice la Prefectura Harghita</w:t>
      </w:r>
    </w:p>
    <w:p w:rsidR="00000000" w:rsidDel="00000000" w:rsidP="00000000" w:rsidRDefault="00000000" w:rsidRPr="00000000" w14:paraId="000000A0">
      <w:pPr>
        <w:spacing w:after="0" w:line="300" w:lineRule="auto"/>
        <w:jc w:val="center"/>
        <w:rPr>
          <w:b w:val="1"/>
          <w:bCs w:val="1"/>
          <w:sz w:val="22"/>
          <w:szCs w:val="22"/>
        </w:rPr>
      </w:pPr>
      <w:r>
        <w:rPr>
          <w:rtl w:val="0"/>
        </w:rPr>
      </w:r>
    </w:p>
    <w:p w:rsidR="00000000" w:rsidDel="00000000" w:rsidP="00000000" w:rsidRDefault="00000000" w:rsidRPr="00000000" w14:paraId="000000A1">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0A2">
      <w:pPr>
        <w:spacing w:after="0" w:line="300" w:lineRule="auto"/>
        <w:jc w:val="center"/>
        <w:rPr>
          <w:b w:val="1"/>
          <w:bCs w:val="1"/>
          <w:sz w:val="22"/>
          <w:szCs w:val="22"/>
        </w:rPr>
      </w:pPr>
      <w:r>
        <w:rPr>
          <w:rtl w:val="0"/>
        </w:rPr>
      </w:r>
    </w:p>
    <w:p w:rsidR="00000000" w:rsidDel="00000000" w:rsidP="00000000" w:rsidRDefault="00000000" w:rsidRPr="00000000" w14:paraId="000000A3">
      <w:pPr>
        <w:spacing w:after="0" w:line="300"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0A4">
      <w:pPr>
        <w:spacing w:after="0" w:line="300" w:lineRule="auto"/>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0A5">
      <w:pPr>
        <w:spacing w:after="0" w:line="300" w:lineRule="auto"/>
        <w:rPr>
          <w:sz w:val="22"/>
          <w:szCs w:val="22"/>
        </w:rPr>
      </w:pPr>
      <w:r>
        <w:rPr>
          <w:rtl w:val="0"/>
        </w:rPr>
      </w:r>
    </w:p>
    <w:p w:rsidR="00000000" w:rsidDel="00000000" w:rsidP="00000000" w:rsidRDefault="00000000" w:rsidRPr="00000000" w14:paraId="000000A6">
      <w:pPr>
        <w:spacing w:after="0" w:line="300" w:lineRule="auto"/>
        <w:rPr>
          <w:sz w:val="22"/>
          <w:szCs w:val="22"/>
        </w:rPr>
      </w:pPr>
      <w:r>
        <w:rPr>
          <w:rtl w:val="0"/>
        </w:rPr>
      </w:r>
    </w:p>
    <w:p w:rsidR="00000000" w:rsidDel="00000000" w:rsidP="00000000" w:rsidRDefault="00000000" w:rsidRPr="00000000" w14:paraId="000000A7">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BhyX9NE884WnVjhuoEa8lZDlF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OHRoODB4bmJ6MWFlOAByITFGS2psc0hhZWhuWmFuVVcxdnhnYVlOdlV2SlhPV01y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